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275"/>
        <w:gridCol w:w="1179"/>
        <w:gridCol w:w="861"/>
        <w:gridCol w:w="2580"/>
        <w:gridCol w:w="924"/>
        <w:gridCol w:w="1131"/>
        <w:gridCol w:w="624"/>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15" w:hRule="atLeast"/>
        </w:trPr>
        <w:tc>
          <w:tcPr>
            <w:tcW w:w="1275" w:type="dxa"/>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附件：2</w:t>
            </w:r>
          </w:p>
        </w:tc>
        <w:tc>
          <w:tcPr>
            <w:tcW w:w="2040" w:type="dxa"/>
            <w:gridSpan w:val="2"/>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p>
        </w:tc>
        <w:tc>
          <w:tcPr>
            <w:tcW w:w="2580" w:type="dxa"/>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p>
        </w:tc>
        <w:tc>
          <w:tcPr>
            <w:tcW w:w="2055" w:type="dxa"/>
            <w:gridSpan w:val="2"/>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p>
        </w:tc>
        <w:tc>
          <w:tcPr>
            <w:tcW w:w="1755" w:type="dxa"/>
            <w:gridSpan w:val="2"/>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20" w:hRule="atLeast"/>
        </w:trPr>
        <w:tc>
          <w:tcPr>
            <w:tcW w:w="9705" w:type="dxa"/>
            <w:gridSpan w:val="8"/>
            <w:vAlign w:val="center"/>
          </w:tcPr>
          <w:p>
            <w:pPr>
              <w:kinsoku/>
              <w:autoSpaceDE/>
              <w:autoSpaceDN w:val="0"/>
              <w:jc w:val="center"/>
              <w:textAlignment w:val="center"/>
              <w:rPr>
                <w:rFonts w:hint="default" w:ascii="宋体" w:hAnsi="宋体" w:eastAsia="宋体"/>
                <w:b w:val="0"/>
                <w:i w:val="0"/>
                <w:snapToGrid/>
                <w:color w:val="000000"/>
                <w:sz w:val="40"/>
                <w:u w:val="none"/>
                <w:lang w:eastAsia="zh-CN"/>
              </w:rPr>
            </w:pPr>
            <w:r>
              <w:rPr>
                <w:rFonts w:hint="default" w:ascii="宋体" w:hAnsi="宋体" w:eastAsia="宋体"/>
                <w:b w:val="0"/>
                <w:i w:val="0"/>
                <w:snapToGrid/>
                <w:color w:val="000000"/>
                <w:sz w:val="40"/>
                <w:u w:val="none"/>
                <w:lang w:eastAsia="zh-CN"/>
              </w:rPr>
              <w:t>行政处罚项目依据表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20"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处罚种类</w:t>
            </w:r>
          </w:p>
        </w:tc>
        <w:tc>
          <w:tcPr>
            <w:tcW w:w="117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违法行为</w:t>
            </w:r>
          </w:p>
        </w:tc>
        <w:tc>
          <w:tcPr>
            <w:tcW w:w="436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行政处罚所依据法律、法规、规章名称、条款及主要内容</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制发机关</w:t>
            </w:r>
          </w:p>
        </w:tc>
        <w:tc>
          <w:tcPr>
            <w:tcW w:w="11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生效时间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150" w:hRule="atLeast"/>
        </w:trPr>
        <w:tc>
          <w:tcPr>
            <w:tcW w:w="1275" w:type="dxa"/>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没收违法所得、罚款、取消计划生育证明、行政处分</w:t>
            </w:r>
          </w:p>
        </w:tc>
        <w:tc>
          <w:tcPr>
            <w:tcW w:w="1179" w:type="dxa"/>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伪造、变造、买卖计划生育证明</w:t>
            </w:r>
          </w:p>
        </w:tc>
        <w:tc>
          <w:tcPr>
            <w:tcW w:w="436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 xml:space="preserve">《中华人民共和国人口与计划生育法》第三十七条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 </w:t>
            </w:r>
            <w:r>
              <w:rPr>
                <w:rFonts w:hint="default" w:ascii="宋体" w:hAnsi="宋体" w:eastAsia="宋体"/>
                <w:b w:val="0"/>
                <w:i w:val="0"/>
                <w:snapToGrid/>
                <w:color w:val="000000"/>
                <w:sz w:val="16"/>
                <w:u w:val="none"/>
                <w:lang w:eastAsia="zh-CN"/>
              </w:rPr>
              <w:br w:type="textWrapping"/>
            </w:r>
            <w:r>
              <w:rPr>
                <w:rFonts w:hint="default" w:ascii="宋体" w:hAnsi="宋体" w:eastAsia="宋体"/>
                <w:b w:val="0"/>
                <w:i w:val="0"/>
                <w:snapToGrid/>
                <w:color w:val="000000"/>
                <w:sz w:val="16"/>
                <w:u w:val="none"/>
                <w:lang w:eastAsia="zh-CN"/>
              </w:rPr>
              <w:t>　　以不正当手段取得计划生育证明的，由计划生育行政部门取消其计划生育证明；出具证明的单位有过错的，对直接负责的主管人员和其他直接责任人员依法给予行政处分。</w:t>
            </w:r>
          </w:p>
        </w:tc>
        <w:tc>
          <w:tcPr>
            <w:tcW w:w="1755" w:type="dxa"/>
            <w:gridSpan w:val="2"/>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全国人大常委会</w:t>
            </w:r>
          </w:p>
        </w:tc>
        <w:tc>
          <w:tcPr>
            <w:tcW w:w="1131" w:type="dxa"/>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2002年9月1日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对违反母婴保健法规定的行政处罚</w:t>
            </w:r>
          </w:p>
        </w:tc>
        <w:tc>
          <w:tcPr>
            <w:tcW w:w="117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擅自从事婚前医学检查、遗传病诊断、产前诊断、终止妊娠手术和医学技术鉴定或者出具有关医学证明、出具虚假医学证明、进行胎儿性别鉴定。</w:t>
            </w:r>
          </w:p>
        </w:tc>
        <w:tc>
          <w:tcPr>
            <w:tcW w:w="436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母婴保健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r>
              <w:rPr>
                <w:rFonts w:hint="default" w:ascii="宋体" w:hAnsi="宋体" w:eastAsia="宋体"/>
                <w:b w:val="0"/>
                <w:i w:val="0"/>
                <w:snapToGrid/>
                <w:color w:val="000000"/>
                <w:sz w:val="16"/>
                <w:u w:val="none"/>
                <w:lang w:eastAsia="zh-CN"/>
              </w:rPr>
              <w:br w:type="textWrapping"/>
            </w:r>
            <w:r>
              <w:rPr>
                <w:rFonts w:hint="default" w:ascii="宋体" w:hAnsi="宋体" w:eastAsia="宋体"/>
                <w:b w:val="0"/>
                <w:i w:val="0"/>
                <w:snapToGrid/>
                <w:color w:val="000000"/>
                <w:sz w:val="16"/>
                <w:u w:val="none"/>
                <w:lang w:eastAsia="zh-CN"/>
              </w:rPr>
              <w:t>第四十一条从事母婴保健技术服务的人员出具虚假医学证明文件的，依法给予行政处分;有下列情形之一的，由原发证部门撤销相应的母婴保健技术执业资格或者医师执业证书:(一)因延误诊治，造成严重后果的;(二)给当事人身心健康造成严重后果的;(三)造成其他严重后果的。</w:t>
            </w:r>
            <w:r>
              <w:rPr>
                <w:rFonts w:hint="default" w:ascii="宋体" w:hAnsi="宋体" w:eastAsia="宋体"/>
                <w:b w:val="0"/>
                <w:i w:val="0"/>
                <w:snapToGrid/>
                <w:color w:val="000000"/>
                <w:sz w:val="16"/>
                <w:u w:val="none"/>
                <w:lang w:eastAsia="zh-CN"/>
              </w:rPr>
              <w:br w:type="textWrapping"/>
            </w:r>
            <w:r>
              <w:rPr>
                <w:rFonts w:hint="default" w:ascii="宋体" w:hAnsi="宋体" w:eastAsia="宋体"/>
                <w:b w:val="0"/>
                <w:i w:val="0"/>
                <w:snapToGrid/>
                <w:color w:val="000000"/>
                <w:sz w:val="16"/>
                <w:u w:val="none"/>
                <w:lang w:eastAsia="zh-CN"/>
              </w:rPr>
              <w:t>第四十二条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国务院</w:t>
            </w:r>
          </w:p>
        </w:tc>
        <w:tc>
          <w:tcPr>
            <w:tcW w:w="11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2001年6月20日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260"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对违反放射诊疗管理规定行为的处罚</w:t>
            </w:r>
          </w:p>
        </w:tc>
        <w:tc>
          <w:tcPr>
            <w:tcW w:w="117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医疗机构购置、使用不合格或国家有关部门规定淘汰的放射诊疗设备行为</w:t>
            </w:r>
          </w:p>
        </w:tc>
        <w:tc>
          <w:tcPr>
            <w:tcW w:w="436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第四十一条医疗机构违反本规定，有下列行为之一的，由县级以上卫生行政部门给予警告，责令限期改正；并可处一万元以下的罚款：(一)购置、使用不合格或国家有关部门规定淘汰的放射诊疗设备的。</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国务院</w:t>
            </w:r>
          </w:p>
        </w:tc>
        <w:tc>
          <w:tcPr>
            <w:tcW w:w="11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1996年10月1日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625" w:hRule="atLeast"/>
        </w:trPr>
        <w:tc>
          <w:tcPr>
            <w:tcW w:w="127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对违反公共场所卫生管理规定行为的处罚</w:t>
            </w:r>
          </w:p>
        </w:tc>
        <w:tc>
          <w:tcPr>
            <w:tcW w:w="1179"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卫生质量、未获得健康合格证、拒绝卫生监督、未取得卫生许可证。</w:t>
            </w:r>
          </w:p>
        </w:tc>
        <w:tc>
          <w:tcPr>
            <w:tcW w:w="4365" w:type="dxa"/>
            <w:gridSpan w:val="3"/>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2"/>
                <w:u w:val="none"/>
                <w:lang w:eastAsia="zh-CN"/>
              </w:rPr>
            </w:pPr>
            <w:r>
              <w:rPr>
                <w:rFonts w:hint="default" w:ascii="宋体" w:hAnsi="宋体" w:eastAsia="宋体"/>
                <w:b w:val="0"/>
                <w:i w:val="0"/>
                <w:snapToGrid/>
                <w:color w:val="000000"/>
                <w:sz w:val="15"/>
                <w:szCs w:val="15"/>
                <w:u w:val="none"/>
                <w:lang w:eastAsia="zh-CN"/>
              </w:rPr>
              <w:t>《公共场所卫生管理条例》第十四条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罚款一律上交国库。</w:t>
            </w:r>
            <w:r>
              <w:rPr>
                <w:rFonts w:hint="default" w:ascii="宋体" w:hAnsi="宋体" w:eastAsia="宋体"/>
                <w:b w:val="0"/>
                <w:i w:val="0"/>
                <w:snapToGrid/>
                <w:color w:val="000000"/>
                <w:sz w:val="15"/>
                <w:szCs w:val="15"/>
                <w:u w:val="none"/>
                <w:lang w:eastAsia="zh-CN"/>
              </w:rPr>
              <w:br w:type="textWrapping"/>
            </w:r>
            <w:r>
              <w:rPr>
                <w:rFonts w:hint="default" w:ascii="宋体" w:hAnsi="宋体" w:eastAsia="宋体"/>
                <w:b w:val="0"/>
                <w:i w:val="0"/>
                <w:snapToGrid/>
                <w:color w:val="000000"/>
                <w:sz w:val="15"/>
                <w:szCs w:val="15"/>
                <w:u w:val="none"/>
                <w:lang w:eastAsia="zh-CN"/>
              </w:rPr>
              <w:t>第十五条 违反本条例的规定造成严重危害公民健康的事故或中毒事故的单位或者个人，应当对受害人赔偿损失。违反本条例致人残疾或者死亡，构成犯罪的，应由司法机关依法追究直接责任人员的刑事责任。</w:t>
            </w:r>
            <w:r>
              <w:rPr>
                <w:rFonts w:hint="default" w:ascii="宋体" w:hAnsi="宋体" w:eastAsia="宋体"/>
                <w:b w:val="0"/>
                <w:i w:val="0"/>
                <w:snapToGrid/>
                <w:color w:val="000000"/>
                <w:sz w:val="15"/>
                <w:szCs w:val="15"/>
                <w:u w:val="none"/>
                <w:lang w:eastAsia="zh-CN"/>
              </w:rPr>
              <w:br w:type="textWrapping"/>
            </w:r>
            <w:r>
              <w:rPr>
                <w:rFonts w:hint="default" w:ascii="宋体" w:hAnsi="宋体" w:eastAsia="宋体"/>
                <w:b w:val="0"/>
                <w:i w:val="0"/>
                <w:snapToGrid/>
                <w:color w:val="000000"/>
                <w:sz w:val="15"/>
                <w:szCs w:val="15"/>
                <w:u w:val="none"/>
                <w:lang w:eastAsia="zh-CN"/>
              </w:rPr>
              <w:t>第十六条 对罚款、停业整顿及吊销"卫生许可证"的行政处罚不服的，在接到处罚通知之日起十五天内，可以向当地人民法院起诉。但对公共场所卫生质量控制的决定应立即执行。对处罚的决定不履行又逾期不起诉的，由卫生防疫机构向人民法院申请强制执行。</w:t>
            </w:r>
            <w:r>
              <w:rPr>
                <w:rFonts w:hint="default" w:ascii="宋体" w:hAnsi="宋体" w:eastAsia="宋体"/>
                <w:b w:val="0"/>
                <w:i w:val="0"/>
                <w:snapToGrid/>
                <w:color w:val="000000"/>
                <w:sz w:val="15"/>
                <w:szCs w:val="15"/>
                <w:u w:val="none"/>
                <w:lang w:eastAsia="zh-CN"/>
              </w:rPr>
              <w:br w:type="textWrapping"/>
            </w:r>
            <w:r>
              <w:rPr>
                <w:rFonts w:hint="default" w:ascii="宋体" w:hAnsi="宋体" w:eastAsia="宋体"/>
                <w:b w:val="0"/>
                <w:i w:val="0"/>
                <w:snapToGrid/>
                <w:color w:val="000000"/>
                <w:sz w:val="15"/>
                <w:szCs w:val="15"/>
                <w:u w:val="none"/>
                <w:lang w:eastAsia="zh-CN"/>
              </w:rPr>
              <w:t>第十七条 公共场所卫生监督机构和卫生监督员必须尽职尽责，依法办事。对玩忽职守，滥用职权，收取贿赂的，由上级主管部门给予直接责任人员行政处分。构成犯罪的，由司法机关依法追究直接责任人员的刑事责任。</w:t>
            </w:r>
          </w:p>
        </w:tc>
        <w:tc>
          <w:tcPr>
            <w:tcW w:w="1755" w:type="dxa"/>
            <w:gridSpan w:val="2"/>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国务院</w:t>
            </w:r>
          </w:p>
        </w:tc>
        <w:tc>
          <w:tcPr>
            <w:tcW w:w="1131"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1987年4月1日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020"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对违反饮水卫生监督管理规定行为的处罚</w:t>
            </w:r>
          </w:p>
        </w:tc>
        <w:tc>
          <w:tcPr>
            <w:tcW w:w="1179"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未取得体检合格证的人员从事直接供、管水工作或安排患有有碍饮用水卫生疾病的或病原从事直接供</w:t>
            </w:r>
          </w:p>
        </w:tc>
        <w:tc>
          <w:tcPr>
            <w:tcW w:w="436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2"/>
                <w:u w:val="none"/>
                <w:lang w:eastAsia="zh-CN"/>
              </w:rPr>
            </w:pPr>
            <w:r>
              <w:rPr>
                <w:rFonts w:hint="default" w:ascii="宋体" w:hAnsi="宋体" w:eastAsia="宋体"/>
                <w:b w:val="0"/>
                <w:i w:val="0"/>
                <w:snapToGrid/>
                <w:color w:val="000000"/>
                <w:sz w:val="15"/>
                <w:szCs w:val="15"/>
                <w:u w:val="none"/>
                <w:lang w:eastAsia="zh-CN"/>
              </w:rPr>
              <w:t>第二十五条 集中式供水单位安排未取得体检合格证的人员从事直接供、管水工作或安排患有有碍饮用水卫生疾病的或病原从事直接供、管水工作的，县级以上地方人民政府卫生行政部门应当责令限期改进，并可对供水单位处以下20 元以上1000元以下的罚款。</w:t>
            </w:r>
            <w:r>
              <w:rPr>
                <w:rFonts w:hint="default" w:ascii="宋体" w:hAnsi="宋体" w:eastAsia="宋体"/>
                <w:b w:val="0"/>
                <w:i w:val="0"/>
                <w:snapToGrid/>
                <w:color w:val="000000"/>
                <w:sz w:val="15"/>
                <w:szCs w:val="15"/>
                <w:u w:val="none"/>
                <w:lang w:eastAsia="zh-CN"/>
              </w:rPr>
              <w:br w:type="textWrapping"/>
            </w:r>
            <w:r>
              <w:rPr>
                <w:rFonts w:hint="default" w:ascii="宋体" w:hAnsi="宋体" w:eastAsia="宋体"/>
                <w:b w:val="0"/>
                <w:i w:val="0"/>
                <w:snapToGrid/>
                <w:color w:val="000000"/>
                <w:sz w:val="15"/>
                <w:szCs w:val="15"/>
                <w:u w:val="none"/>
                <w:lang w:eastAsia="zh-CN"/>
              </w:rPr>
              <w:t>第二十六条 违反本办法规定，有下列情形之一的，县级以上的地方人民政府卫生行政部门应当责令限期改进，并可对供水单位处以下20元以上5000元以下的罚款：（一）在饮用水水源保护区修建危害水源水质卫生的设施或进行有碍水源水质卫生的作业的；（二）新建、扩建、改建的饮用水供水项目未经卫生行政部门参加选址、设计审查和竣工验收而擅自供水的；（三）供水单位未取得卫生许可证而擅自供水的；（四）供水单位供应的饮用水不符合国家规定的生活饮用水卫生标准；（五）未取得卫生行政部门的卫生许可擅自从事二次供水设施清洗消毒工作的。</w:t>
            </w:r>
            <w:r>
              <w:rPr>
                <w:rFonts w:hint="default" w:ascii="宋体" w:hAnsi="宋体" w:eastAsia="宋体"/>
                <w:b w:val="0"/>
                <w:i w:val="0"/>
                <w:snapToGrid/>
                <w:color w:val="000000"/>
                <w:sz w:val="15"/>
                <w:szCs w:val="15"/>
                <w:u w:val="none"/>
                <w:lang w:eastAsia="zh-CN"/>
              </w:rPr>
              <w:br w:type="textWrapping"/>
            </w:r>
            <w:r>
              <w:rPr>
                <w:rFonts w:hint="default" w:ascii="宋体" w:hAnsi="宋体" w:eastAsia="宋体"/>
                <w:b w:val="0"/>
                <w:i w:val="0"/>
                <w:snapToGrid/>
                <w:color w:val="000000"/>
                <w:sz w:val="15"/>
                <w:szCs w:val="15"/>
                <w:u w:val="none"/>
                <w:lang w:eastAsia="zh-CN"/>
              </w:rPr>
              <w:t>第二十七条 违反本办法规定，生产或者销售无卫生许可批准文件的涉及饮用水卫生安全的产品的，县级以上地方人民政府卫生行政部门应当责令改进，并可处以违法所得3倍以下的罚款，但最高不超过30000元，或处500元以上10000元以下的罚款。</w:t>
            </w:r>
            <w:r>
              <w:rPr>
                <w:rFonts w:hint="default" w:ascii="宋体" w:hAnsi="宋体" w:eastAsia="宋体"/>
                <w:b w:val="0"/>
                <w:i w:val="0"/>
                <w:snapToGrid/>
                <w:color w:val="000000"/>
                <w:sz w:val="15"/>
                <w:szCs w:val="15"/>
                <w:u w:val="none"/>
                <w:lang w:eastAsia="zh-CN"/>
              </w:rPr>
              <w:br w:type="textWrapping"/>
            </w:r>
            <w:r>
              <w:rPr>
                <w:rFonts w:hint="default" w:ascii="宋体" w:hAnsi="宋体" w:eastAsia="宋体"/>
                <w:b w:val="0"/>
                <w:i w:val="0"/>
                <w:snapToGrid/>
                <w:color w:val="000000"/>
                <w:sz w:val="15"/>
                <w:szCs w:val="15"/>
                <w:u w:val="none"/>
                <w:lang w:eastAsia="zh-CN"/>
              </w:rPr>
              <w:t>第二十八条 城市自来水供水企业和自建设施对外供水的企业，有下列午行为之一的，由建设行政主管部门责令限期改进，并可处以违法所得3倍以下的罚款，但最高不超过30000元，没有违法所得可处以免10000元以下罚款：（一）新建、改建、扩建的饮用水供水工程项目未经建设行政主管部门设计审查和竣工验收而擅自建设并投入使用的；（二）未按规定进行日常性水质检验工作的；（三）未取得&lt;城市供水企业资质证书&gt;擅自供水的。</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国家住房和城乡建设部国家卫生计生委</w:t>
            </w:r>
          </w:p>
        </w:tc>
        <w:tc>
          <w:tcPr>
            <w:tcW w:w="113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2016年6月1日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66594"/>
    <w:rsid w:val="4F1665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2017-10-23T01:46:00Z</dcterms:created>
  <dc:creator>Administrator</dc:creator>
  <cp:lastModifiedBy>Administrator</cp:lastModifiedBy>
  <dcterms:modified xsi:type="dcterms:W3CDTF">2017-10-23T01:47:10Z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