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西川村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AB53CF9"/>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